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12BC">
      <w:pPr>
        <w:pStyle w:val="ConsPlusNormal"/>
        <w:jc w:val="both"/>
        <w:outlineLvl w:val="0"/>
      </w:pPr>
      <w:bookmarkStart w:id="0" w:name="_GoBack"/>
      <w:bookmarkEnd w:id="0"/>
    </w:p>
    <w:p w:rsidR="00000000" w:rsidRDefault="004012BC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4012BC">
      <w:pPr>
        <w:pStyle w:val="ConsPlusTitle"/>
        <w:jc w:val="both"/>
      </w:pPr>
    </w:p>
    <w:p w:rsidR="00000000" w:rsidRDefault="004012BC">
      <w:pPr>
        <w:pStyle w:val="ConsPlusTitle"/>
        <w:jc w:val="center"/>
      </w:pPr>
      <w:r>
        <w:t>ФЕДЕРАЛЬНАЯ НАЛОГОВАЯ СЛУЖБА</w:t>
      </w:r>
    </w:p>
    <w:p w:rsidR="00000000" w:rsidRDefault="004012BC">
      <w:pPr>
        <w:pStyle w:val="ConsPlusTitle"/>
        <w:jc w:val="both"/>
      </w:pPr>
    </w:p>
    <w:p w:rsidR="00000000" w:rsidRDefault="004012BC">
      <w:pPr>
        <w:pStyle w:val="ConsPlusTitle"/>
        <w:jc w:val="center"/>
      </w:pPr>
      <w:r>
        <w:t>ПИСЬМО</w:t>
      </w:r>
    </w:p>
    <w:p w:rsidR="00000000" w:rsidRDefault="004012BC">
      <w:pPr>
        <w:pStyle w:val="ConsPlusTitle"/>
        <w:jc w:val="center"/>
      </w:pPr>
      <w:r>
        <w:t>от 24 июня 2019 г. N БС-4-11/12211</w:t>
      </w:r>
    </w:p>
    <w:p w:rsidR="00000000" w:rsidRDefault="004012BC">
      <w:pPr>
        <w:pStyle w:val="ConsPlusTitle"/>
        <w:jc w:val="both"/>
      </w:pPr>
    </w:p>
    <w:p w:rsidR="00000000" w:rsidRDefault="004012BC">
      <w:pPr>
        <w:pStyle w:val="ConsPlusTitle"/>
        <w:jc w:val="center"/>
      </w:pPr>
      <w:r>
        <w:t>ОБ ОБЛОЖЕНИИ СТРАХОВЫМИ ВЗНОСАМИ</w:t>
      </w:r>
    </w:p>
    <w:p w:rsidR="00000000" w:rsidRDefault="004012BC">
      <w:pPr>
        <w:pStyle w:val="ConsPlusNormal"/>
        <w:jc w:val="both"/>
      </w:pPr>
    </w:p>
    <w:p w:rsidR="00000000" w:rsidRDefault="004012BC">
      <w:pPr>
        <w:pStyle w:val="ConsPlusNormal"/>
        <w:ind w:firstLine="540"/>
        <w:jc w:val="both"/>
      </w:pPr>
      <w:r>
        <w:t>Федеральная налоговая служба разъясняет порядок исчисления и уплаты страховых взносов физическим лицом, не производящим выплаты и иные вознаграждения физическим лицам и осуществляющим предпринимательскую деятельность, а также одновременно иную деятельность</w:t>
      </w:r>
      <w:r>
        <w:t>, установленную законодательством Российской Федерации, не являющуюся предпринимательской, сообщает следующее.</w:t>
      </w:r>
    </w:p>
    <w:p w:rsidR="00000000" w:rsidRDefault="004012BC">
      <w:pPr>
        <w:pStyle w:val="ConsPlusNormal"/>
        <w:spacing w:before="240"/>
        <w:ind w:firstLine="540"/>
        <w:jc w:val="both"/>
      </w:pPr>
      <w:r>
        <w:t>Положениями подпункта 1 пункта 1 статьи 430 Налогового кодекса Российской Федерации (далее - Кодекс) установлен дифференцированный подход к опред</w:t>
      </w:r>
      <w:r>
        <w:t>елению размера страховых взносов на обязательное пенсионное страхование для плательщиков, не производящих выплаты и иные вознаграждения физическим лицам, исходя из их дохода (при величине дохода до 300 000 рублей за расчетный период страховые взносы уплачи</w:t>
      </w:r>
      <w:r>
        <w:t>ваются в фиксированном размере, свыше 300 000 рублей - в фиксированном размере плюс 1,0 процент суммы дохода, превышающего 300 000 рублей).</w:t>
      </w:r>
    </w:p>
    <w:p w:rsidR="00000000" w:rsidRDefault="004012BC">
      <w:pPr>
        <w:pStyle w:val="ConsPlusNormal"/>
        <w:spacing w:before="240"/>
        <w:ind w:firstLine="540"/>
        <w:jc w:val="both"/>
      </w:pPr>
      <w:r>
        <w:t xml:space="preserve">Страховые взносы на обязательное медицинское страхование плательщики, не производящие выплаты и иные вознаграждения </w:t>
      </w:r>
      <w:r>
        <w:t>физическим лицам, уплачивают только в фиксированном размере независимо от величины их дохода.</w:t>
      </w:r>
    </w:p>
    <w:p w:rsidR="00000000" w:rsidRDefault="004012BC">
      <w:pPr>
        <w:pStyle w:val="ConsPlusNormal"/>
        <w:spacing w:before="240"/>
        <w:ind w:firstLine="540"/>
        <w:jc w:val="both"/>
      </w:pPr>
      <w:r>
        <w:t>Поэтому если физическое лицо относится к одной категории, поименованной в подпункте 2 пункта 1 статьи 419 Кодекса (не работодатели), но осуществляет не только пре</w:t>
      </w:r>
      <w:r>
        <w:t>дпринимательскую деятельность, но и иную установленную законодательством Российской Федерации деятельность, не являющуюся предпринимательской (например, медиатора, оценщика), то такой плательщик уплачивает страховые взносы в порядке, установленном для данн</w:t>
      </w:r>
      <w:r>
        <w:t>ой категории статьей 430 Кодекса.</w:t>
      </w:r>
    </w:p>
    <w:p w:rsidR="00000000" w:rsidRDefault="004012BC">
      <w:pPr>
        <w:pStyle w:val="ConsPlusNormal"/>
        <w:spacing w:before="240"/>
        <w:ind w:firstLine="540"/>
        <w:jc w:val="both"/>
      </w:pPr>
      <w:r>
        <w:t xml:space="preserve">Таким образом, за расчетный период такой плательщик как единый субъект правоотношений, независимо от постановки его на учет в налоговом органе по одному или более основаниям, однократно уплачивает фиксированные платежи по </w:t>
      </w:r>
      <w:r>
        <w:t>страховым взносам на обязательное пенсионное и медицинское страхование в размерах, установленных пунктом 1 статьи 430 Кодекса. Соответственно, независимо от количества видов осуществляемой деятельности, плательщик страховых взносов доплачивает страховой вз</w:t>
      </w:r>
      <w:r>
        <w:t>нос на свое пенсионное страхование 1,0 процент с суммы совокупного дохода от всех видов осуществляемой деятельности, превышающей 300 000 рублей за расчетный период (но не более восьмикратного фиксированного размера страховых взносов на обязательное пенсион</w:t>
      </w:r>
      <w:r>
        <w:t>ное страхование, установленного абзацем вторым подпункта 1 пункта 1 статьи 430 Кодекса).</w:t>
      </w:r>
    </w:p>
    <w:p w:rsidR="00000000" w:rsidRDefault="004012BC">
      <w:pPr>
        <w:pStyle w:val="ConsPlusNormal"/>
        <w:spacing w:before="240"/>
        <w:ind w:firstLine="540"/>
        <w:jc w:val="both"/>
      </w:pPr>
      <w:r>
        <w:t>При этом если плательщик в течение расчетного периода снимается с учета в налоговом органе по одному из оснований и уплачивает в соответствии с требованиями пункта 5 с</w:t>
      </w:r>
      <w:r>
        <w:t xml:space="preserve">татьи 432 </w:t>
      </w:r>
      <w:r>
        <w:lastRenderedPageBreak/>
        <w:t>Кодекса страховые взносы в фиксированном размере по прекращенной деятельности, но продолжает осуществлять иную предусмотренную подпунктом 2 пункта 1 статьи 419 Кодекса деятельность, то сумма страховых взносов, подлежащая уплате по итогам расчетно</w:t>
      </w:r>
      <w:r>
        <w:t>го периода в фиксированном размере, определяется за вычетом суммы страховых взносов в фиксированном размере, уплаченной за период деятельности, прекращенной в расчетном периоде.</w:t>
      </w:r>
    </w:p>
    <w:p w:rsidR="00000000" w:rsidRDefault="004012BC">
      <w:pPr>
        <w:pStyle w:val="ConsPlusNormal"/>
        <w:spacing w:before="240"/>
        <w:ind w:firstLine="540"/>
        <w:jc w:val="both"/>
      </w:pPr>
      <w:r>
        <w:t>Указанная позиция согласована с Минфином России.</w:t>
      </w:r>
    </w:p>
    <w:p w:rsidR="00000000" w:rsidRDefault="004012BC">
      <w:pPr>
        <w:pStyle w:val="ConsPlusNormal"/>
        <w:spacing w:before="240"/>
        <w:ind w:firstLine="540"/>
        <w:jc w:val="both"/>
      </w:pPr>
      <w:r>
        <w:t xml:space="preserve">Доведите настоящее письмо до </w:t>
      </w:r>
      <w:r>
        <w:t>территориальных налоговых органов.</w:t>
      </w:r>
    </w:p>
    <w:p w:rsidR="00000000" w:rsidRDefault="004012BC">
      <w:pPr>
        <w:pStyle w:val="ConsPlusNormal"/>
        <w:jc w:val="both"/>
      </w:pPr>
    </w:p>
    <w:p w:rsidR="00000000" w:rsidRDefault="004012BC">
      <w:pPr>
        <w:pStyle w:val="ConsPlusNormal"/>
        <w:jc w:val="right"/>
      </w:pPr>
      <w:r>
        <w:t>Действительный</w:t>
      </w:r>
    </w:p>
    <w:p w:rsidR="00000000" w:rsidRDefault="004012BC">
      <w:pPr>
        <w:pStyle w:val="ConsPlusNormal"/>
        <w:jc w:val="right"/>
      </w:pPr>
      <w:r>
        <w:t>государственный советник</w:t>
      </w:r>
    </w:p>
    <w:p w:rsidR="00000000" w:rsidRDefault="004012BC">
      <w:pPr>
        <w:pStyle w:val="ConsPlusNormal"/>
        <w:jc w:val="right"/>
      </w:pPr>
      <w:r>
        <w:t>Российской Федерации</w:t>
      </w:r>
    </w:p>
    <w:p w:rsidR="00000000" w:rsidRDefault="004012BC">
      <w:pPr>
        <w:pStyle w:val="ConsPlusNormal"/>
        <w:jc w:val="right"/>
      </w:pPr>
      <w:r>
        <w:t>2 класса</w:t>
      </w:r>
    </w:p>
    <w:p w:rsidR="00000000" w:rsidRDefault="004012BC">
      <w:pPr>
        <w:pStyle w:val="ConsPlusNormal"/>
        <w:jc w:val="right"/>
      </w:pPr>
      <w:r>
        <w:t>С.Л.БОНДАРЧУК</w:t>
      </w:r>
    </w:p>
    <w:p w:rsidR="00000000" w:rsidRDefault="004012BC">
      <w:pPr>
        <w:pStyle w:val="ConsPlusNormal"/>
        <w:jc w:val="both"/>
      </w:pPr>
    </w:p>
    <w:p w:rsidR="00000000" w:rsidRDefault="004012BC">
      <w:pPr>
        <w:pStyle w:val="ConsPlusNormal"/>
        <w:jc w:val="both"/>
      </w:pPr>
    </w:p>
    <w:p w:rsidR="00000000" w:rsidRDefault="00401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2BC">
      <w:pPr>
        <w:spacing w:after="0" w:line="240" w:lineRule="auto"/>
      </w:pPr>
      <w:r>
        <w:separator/>
      </w:r>
    </w:p>
  </w:endnote>
  <w:endnote w:type="continuationSeparator" w:id="0">
    <w:p w:rsidR="00000000" w:rsidRDefault="0040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12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012B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12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012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2BC">
      <w:pPr>
        <w:spacing w:after="0" w:line="240" w:lineRule="auto"/>
      </w:pPr>
      <w:r>
        <w:separator/>
      </w:r>
    </w:p>
  </w:footnote>
  <w:footnote w:type="continuationSeparator" w:id="0">
    <w:p w:rsidR="00000000" w:rsidRDefault="0040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ФНС России от 24.06.2019 N БС-4-11/12211</w:t>
          </w:r>
          <w:r>
            <w:rPr>
              <w:sz w:val="16"/>
              <w:szCs w:val="16"/>
            </w:rPr>
            <w:br/>
            <w:t>"Об обложении страховыми взносами"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jc w:val="center"/>
          </w:pPr>
        </w:p>
        <w:p w:rsidR="00000000" w:rsidRDefault="004012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08.07.2019</w:t>
          </w:r>
        </w:p>
      </w:tc>
    </w:tr>
  </w:tbl>
  <w:p w:rsidR="00000000" w:rsidRDefault="004012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12B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8175" cy="44513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012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ФНС России от 24.06.2019 N БС-4-11/12211</w:t>
          </w:r>
          <w:r>
            <w:rPr>
              <w:sz w:val="16"/>
              <w:szCs w:val="16"/>
            </w:rPr>
            <w:br/>
            <w:t xml:space="preserve">"Об обложении </w:t>
          </w:r>
          <w:r>
            <w:rPr>
              <w:sz w:val="16"/>
              <w:szCs w:val="16"/>
            </w:rPr>
            <w:t>страховыми взносами"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jc w:val="center"/>
          </w:pPr>
        </w:p>
        <w:p w:rsidR="00000000" w:rsidRDefault="004012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2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08.07.2019</w:t>
          </w:r>
        </w:p>
      </w:tc>
    </w:tr>
  </w:tbl>
  <w:p w:rsidR="00000000" w:rsidRDefault="004012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12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BC"/>
    <w:rsid w:val="0040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6</DocSecurity>
  <Lines>23</Lines>
  <Paragraphs>6</Paragraphs>
  <ScaleCrop>false</ScaleCrop>
  <Company>КонсультантПлюс Версия 4018.00.50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24.06.2019 N БС-4-11/12211"Об обложении страховыми взносами"</dc:title>
  <dc:creator>Техов Руслан Георгиевич</dc:creator>
  <cp:lastModifiedBy>Техов Руслан Георгиевич</cp:lastModifiedBy>
  <cp:revision>2</cp:revision>
  <dcterms:created xsi:type="dcterms:W3CDTF">2019-07-09T01:38:00Z</dcterms:created>
  <dcterms:modified xsi:type="dcterms:W3CDTF">2019-07-09T01:38:00Z</dcterms:modified>
</cp:coreProperties>
</file>